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2423160" cy="75097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creenshot 2026-06-06 103125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23160" cy="7509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Title"/>
        <w:spacing w:after="160"/>
      </w:pPr>
      <w:r>
        <w:t>ProCare Hub Assessment and Appeals Policy</w:t>
      </w:r>
    </w:p>
    <w:p>
      <w:r>
        <w:rPr>
          <w:rFonts w:ascii="Arial" w:hAnsi="Arial"/>
          <w:color w:val="444444"/>
          <w:sz w:val="24"/>
        </w:rPr>
        <w:t>Assessment rules, marking, reassessment and appeal handling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Document title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ProCare Hub Assessment and Appeals Policy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Applies to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ProCare Hub, Brandso Group Limited, learners, employer clients, trainers, assessors, contractors and relevant Brandso subsidiaries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Document owner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ProCare Hub Service Lead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Approved by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Simeon Ologeh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Approval date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10/06/2026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Version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1.0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Review frequency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Annual, or earlier following legal, regulatory, safeguarding, course, platform or service change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Legal jurisdiction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England and Wales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Contact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info@brandso.co.uk | 0333 335 5919</w:t>
            </w:r>
          </w:p>
        </w:tc>
      </w:tr>
    </w:tbl>
    <w:p/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 xml:space="preserve">This document forms part of the </w:t>
      </w:r>
      <w:r>
        <w:rPr>
          <w:rFonts w:ascii="Arial" w:hAnsi="Arial"/>
          <w:b/>
          <w:color w:val="444444"/>
          <w:sz w:val="20"/>
        </w:rPr>
        <w:t>Brandso Group</w:t>
      </w:r>
      <w:r>
        <w:rPr>
          <w:rFonts w:ascii="Arial" w:hAnsi="Arial"/>
          <w:color w:val="444444"/>
          <w:sz w:val="20"/>
        </w:rPr>
        <w:t xml:space="preserve"> Policy Library. It has been prepared for </w:t>
      </w:r>
      <w:r>
        <w:rPr>
          <w:rFonts w:ascii="Arial" w:hAnsi="Arial"/>
          <w:b/>
          <w:color w:val="444444"/>
          <w:sz w:val="20"/>
        </w:rPr>
        <w:t>ProCare Hub</w:t>
      </w:r>
      <w:r>
        <w:rPr>
          <w:rFonts w:ascii="Arial" w:hAnsi="Arial"/>
          <w:color w:val="444444"/>
          <w:sz w:val="20"/>
        </w:rPr>
        <w:t xml:space="preserve">, a </w:t>
      </w:r>
      <w:r>
        <w:rPr>
          <w:rFonts w:ascii="Arial" w:hAnsi="Arial"/>
          <w:b/>
          <w:color w:val="444444"/>
          <w:sz w:val="20"/>
        </w:rPr>
        <w:t>Brandso Group</w:t>
      </w:r>
      <w:r>
        <w:rPr>
          <w:rFonts w:ascii="Arial" w:hAnsi="Arial"/>
          <w:color w:val="444444"/>
          <w:sz w:val="20"/>
        </w:rPr>
        <w:t xml:space="preserve"> </w:t>
      </w:r>
      <w:r>
        <w:rPr>
          <w:rFonts w:ascii="Arial" w:hAnsi="Arial"/>
          <w:b/>
          <w:color w:val="444444"/>
          <w:sz w:val="20"/>
        </w:rPr>
        <w:t>training</w:t>
      </w:r>
      <w:r>
        <w:rPr>
          <w:rFonts w:ascii="Arial" w:hAnsi="Arial"/>
          <w:color w:val="444444"/>
          <w:sz w:val="20"/>
        </w:rPr>
        <w:t xml:space="preserve"> service operated by </w:t>
      </w:r>
      <w:r>
        <w:rPr>
          <w:rFonts w:ascii="Arial" w:hAnsi="Arial"/>
          <w:b/>
          <w:color w:val="444444"/>
          <w:sz w:val="20"/>
        </w:rPr>
        <w:t>Brandso Group Limited</w:t>
      </w:r>
      <w:r>
        <w:rPr>
          <w:rFonts w:ascii="Arial" w:hAnsi="Arial"/>
          <w:color w:val="444444"/>
          <w:sz w:val="20"/>
        </w:rPr>
        <w:t xml:space="preserve">, company number 15970239, registered office Unit 6, 33 Hungerhill Road, Nottingham, England, NG3 4NB, </w:t>
      </w:r>
      <w:r>
        <w:rPr>
          <w:rFonts w:ascii="Arial" w:hAnsi="Arial"/>
          <w:b/>
          <w:color w:val="444444"/>
          <w:sz w:val="20"/>
        </w:rPr>
        <w:t>ICO</w:t>
      </w:r>
      <w:r>
        <w:rPr>
          <w:rFonts w:ascii="Arial" w:hAnsi="Arial"/>
          <w:color w:val="444444"/>
          <w:sz w:val="20"/>
        </w:rPr>
        <w:t xml:space="preserve"> registration number ZC142984.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 xml:space="preserve">This document supports safe, fair, consistent and commercially controlled </w:t>
      </w:r>
      <w:r>
        <w:rPr>
          <w:rFonts w:ascii="Arial" w:hAnsi="Arial"/>
          <w:b/>
          <w:color w:val="444444"/>
          <w:sz w:val="20"/>
        </w:rPr>
        <w:t>training</w:t>
      </w:r>
      <w:r>
        <w:rPr>
          <w:rFonts w:ascii="Arial" w:hAnsi="Arial"/>
          <w:color w:val="444444"/>
          <w:sz w:val="20"/>
        </w:rPr>
        <w:t xml:space="preserve"> delivery. It is not a substitute for independent legal, regulatory, awarding body, </w:t>
      </w:r>
      <w:r>
        <w:rPr>
          <w:rFonts w:ascii="Arial" w:hAnsi="Arial"/>
          <w:b/>
          <w:color w:val="444444"/>
          <w:sz w:val="20"/>
        </w:rPr>
        <w:t>safeguarding</w:t>
      </w:r>
      <w:r>
        <w:rPr>
          <w:rFonts w:ascii="Arial" w:hAnsi="Arial"/>
          <w:color w:val="444444"/>
          <w:sz w:val="20"/>
        </w:rPr>
        <w:t>, employment or clinical advice where a matter is complex, disputed or high risk.</w:t>
      </w:r>
    </w:p>
    <w:p>
      <w:r>
        <w:br w:type="page"/>
      </w:r>
    </w:p>
    <w:p>
      <w:pPr>
        <w:pStyle w:val="Heading1"/>
      </w:pPr>
      <w:r>
        <w:t>1. Purpose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 xml:space="preserve">This policy sets out fair </w:t>
      </w:r>
      <w:r>
        <w:rPr>
          <w:rFonts w:ascii="Arial" w:hAnsi="Arial"/>
          <w:b/>
          <w:color w:val="444444"/>
          <w:sz w:val="20"/>
        </w:rPr>
        <w:t>assessment</w:t>
      </w:r>
      <w:r>
        <w:rPr>
          <w:rFonts w:ascii="Arial" w:hAnsi="Arial"/>
          <w:color w:val="444444"/>
          <w:sz w:val="20"/>
        </w:rPr>
        <w:t>, marking, re</w:t>
      </w:r>
      <w:r>
        <w:rPr>
          <w:rFonts w:ascii="Arial" w:hAnsi="Arial"/>
          <w:b/>
          <w:color w:val="444444"/>
          <w:sz w:val="20"/>
        </w:rPr>
        <w:t>assessment</w:t>
      </w:r>
      <w:r>
        <w:rPr>
          <w:rFonts w:ascii="Arial" w:hAnsi="Arial"/>
          <w:color w:val="444444"/>
          <w:sz w:val="20"/>
        </w:rPr>
        <w:t xml:space="preserve"> and </w:t>
      </w:r>
      <w:r>
        <w:rPr>
          <w:rFonts w:ascii="Arial" w:hAnsi="Arial"/>
          <w:b/>
          <w:color w:val="444444"/>
          <w:sz w:val="20"/>
        </w:rPr>
        <w:t>appeal</w:t>
      </w:r>
      <w:r>
        <w:rPr>
          <w:rFonts w:ascii="Arial" w:hAnsi="Arial"/>
          <w:color w:val="444444"/>
          <w:sz w:val="20"/>
        </w:rPr>
        <w:t xml:space="preserve"> arrangements for </w:t>
      </w:r>
      <w:r>
        <w:rPr>
          <w:rFonts w:ascii="Arial" w:hAnsi="Arial"/>
          <w:b/>
          <w:color w:val="444444"/>
          <w:sz w:val="20"/>
        </w:rPr>
        <w:t>ProCare Hub</w:t>
      </w:r>
      <w:r>
        <w:rPr>
          <w:rFonts w:ascii="Arial" w:hAnsi="Arial"/>
          <w:color w:val="444444"/>
          <w:sz w:val="20"/>
        </w:rPr>
        <w:t xml:space="preserve"> </w:t>
      </w:r>
      <w:r>
        <w:rPr>
          <w:rFonts w:ascii="Arial" w:hAnsi="Arial"/>
          <w:b/>
          <w:color w:val="444444"/>
          <w:sz w:val="20"/>
        </w:rPr>
        <w:t>course</w:t>
      </w:r>
      <w:r>
        <w:rPr>
          <w:rFonts w:ascii="Arial" w:hAnsi="Arial"/>
          <w:color w:val="444444"/>
          <w:sz w:val="20"/>
        </w:rPr>
        <w:t xml:space="preserve">s that include tests, observations, practical checks, reflective tasks, quizzes or other </w:t>
      </w:r>
      <w:r>
        <w:rPr>
          <w:rFonts w:ascii="Arial" w:hAnsi="Arial"/>
          <w:b/>
          <w:color w:val="444444"/>
          <w:sz w:val="20"/>
        </w:rPr>
        <w:t>assessment</w:t>
      </w:r>
      <w:r>
        <w:rPr>
          <w:rFonts w:ascii="Arial" w:hAnsi="Arial"/>
          <w:color w:val="444444"/>
          <w:sz w:val="20"/>
        </w:rPr>
        <w:t xml:space="preserve"> activities.</w:t>
      </w:r>
    </w:p>
    <w:p>
      <w:pPr>
        <w:pStyle w:val="Heading1"/>
      </w:pPr>
      <w:r>
        <w:t>2. Scope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 xml:space="preserve">This document applies to </w:t>
      </w:r>
      <w:r>
        <w:rPr>
          <w:rFonts w:ascii="Arial" w:hAnsi="Arial"/>
          <w:b/>
          <w:color w:val="444444"/>
          <w:sz w:val="20"/>
        </w:rPr>
        <w:t>ProCare Hub</w:t>
      </w:r>
      <w:r>
        <w:rPr>
          <w:rFonts w:ascii="Arial" w:hAnsi="Arial"/>
          <w:color w:val="444444"/>
          <w:sz w:val="20"/>
        </w:rPr>
        <w:t xml:space="preserve"> and any </w:t>
      </w:r>
      <w:r>
        <w:rPr>
          <w:rFonts w:ascii="Arial" w:hAnsi="Arial"/>
          <w:b/>
          <w:color w:val="444444"/>
          <w:sz w:val="20"/>
        </w:rPr>
        <w:t>Brandso Group</w:t>
      </w:r>
      <w:r>
        <w:rPr>
          <w:rFonts w:ascii="Arial" w:hAnsi="Arial"/>
          <w:color w:val="444444"/>
          <w:sz w:val="20"/>
        </w:rPr>
        <w:t xml:space="preserve"> staff, trainers, contractors, </w:t>
      </w:r>
      <w:r>
        <w:rPr>
          <w:rFonts w:ascii="Arial" w:hAnsi="Arial"/>
          <w:b/>
          <w:color w:val="444444"/>
          <w:sz w:val="20"/>
        </w:rPr>
        <w:t>learner</w:t>
      </w:r>
      <w:r>
        <w:rPr>
          <w:rFonts w:ascii="Arial" w:hAnsi="Arial"/>
          <w:color w:val="444444"/>
          <w:sz w:val="20"/>
        </w:rPr>
        <w:t xml:space="preserve">s, </w:t>
      </w:r>
      <w:r>
        <w:rPr>
          <w:rFonts w:ascii="Arial" w:hAnsi="Arial"/>
          <w:b/>
          <w:color w:val="444444"/>
          <w:sz w:val="20"/>
        </w:rPr>
        <w:t>employer</w:t>
      </w:r>
      <w:r>
        <w:rPr>
          <w:rFonts w:ascii="Arial" w:hAnsi="Arial"/>
          <w:color w:val="444444"/>
          <w:sz w:val="20"/>
        </w:rPr>
        <w:t xml:space="preserve"> clients or approved partners involved in the relevant </w:t>
      </w:r>
      <w:r>
        <w:rPr>
          <w:rFonts w:ascii="Arial" w:hAnsi="Arial"/>
          <w:b/>
          <w:color w:val="444444"/>
          <w:sz w:val="20"/>
        </w:rPr>
        <w:t>training</w:t>
      </w:r>
      <w:r>
        <w:rPr>
          <w:rFonts w:ascii="Arial" w:hAnsi="Arial"/>
          <w:color w:val="444444"/>
          <w:sz w:val="20"/>
        </w:rPr>
        <w:t xml:space="preserve"> activity. It should be read alongside the </w:t>
      </w:r>
      <w:r>
        <w:rPr>
          <w:rFonts w:ascii="Arial" w:hAnsi="Arial"/>
          <w:b/>
          <w:color w:val="444444"/>
          <w:sz w:val="20"/>
        </w:rPr>
        <w:t>Brandso Group</w:t>
      </w:r>
      <w:r>
        <w:rPr>
          <w:rFonts w:ascii="Arial" w:hAnsi="Arial"/>
          <w:color w:val="444444"/>
          <w:sz w:val="20"/>
        </w:rPr>
        <w:t xml:space="preserve"> legal, data protection, customer service, finance, HR and </w:t>
      </w:r>
      <w:r>
        <w:rPr>
          <w:rFonts w:ascii="Arial" w:hAnsi="Arial"/>
          <w:b/>
          <w:color w:val="444444"/>
          <w:sz w:val="20"/>
        </w:rPr>
        <w:t>safeguarding</w:t>
      </w:r>
      <w:r>
        <w:rPr>
          <w:rFonts w:ascii="Arial" w:hAnsi="Arial"/>
          <w:color w:val="444444"/>
          <w:sz w:val="20"/>
        </w:rPr>
        <w:t>-related policy packs.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Knowledge quizzes and online tests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Trainer-marked written tasks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Practical demonstrations and observations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Employer-sponsored training assessments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Appeals about assessment outcomes or certificate refusal</w:t>
      </w:r>
    </w:p>
    <w:p>
      <w:pPr>
        <w:pStyle w:val="Heading1"/>
      </w:pPr>
      <w:r>
        <w:t>3. Policy statement and operating principles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</w:r>
      <w:r>
        <w:rPr>
          <w:rFonts w:ascii="Arial" w:hAnsi="Arial"/>
          <w:b/>
          <w:color w:val="444444"/>
          <w:sz w:val="20"/>
        </w:rPr>
        <w:t>ProCare Hub</w:t>
      </w:r>
      <w:r>
        <w:rPr>
          <w:rFonts w:ascii="Arial" w:hAnsi="Arial"/>
          <w:color w:val="444444"/>
          <w:sz w:val="20"/>
        </w:rPr>
        <w:t xml:space="preserve"> must deliver </w:t>
      </w:r>
      <w:r>
        <w:rPr>
          <w:rFonts w:ascii="Arial" w:hAnsi="Arial"/>
          <w:b/>
          <w:color w:val="444444"/>
          <w:sz w:val="20"/>
        </w:rPr>
        <w:t>training</w:t>
      </w:r>
      <w:r>
        <w:rPr>
          <w:rFonts w:ascii="Arial" w:hAnsi="Arial"/>
          <w:color w:val="444444"/>
          <w:sz w:val="20"/>
        </w:rPr>
        <w:t xml:space="preserve"> that is clear, honest, safe, accessible, commercially fair and appropriate to the </w:t>
      </w:r>
      <w:r>
        <w:rPr>
          <w:rFonts w:ascii="Arial" w:hAnsi="Arial"/>
          <w:b/>
          <w:color w:val="444444"/>
          <w:sz w:val="20"/>
        </w:rPr>
        <w:t>learner</w:t>
      </w:r>
      <w:r>
        <w:rPr>
          <w:rFonts w:ascii="Arial" w:hAnsi="Arial"/>
          <w:color w:val="444444"/>
          <w:sz w:val="20"/>
        </w:rPr>
        <w:t xml:space="preserve"> audience. Training materials must not overstate qualifications, guarantees, legal effect, inspection outcomes, employment prospects or regulatory approval.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Assessment methods must match the course aims and be explained to learners.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Marking must be fair, consistent and evidence-based.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Learners must have a route to challenge an assessment decision.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Appeals must be handled by someone not directly responsible for the original decision where practicable.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Assessment records must be retained securely and not altered without an audit trail.</w:t>
      </w:r>
    </w:p>
    <w:p>
      <w:pPr>
        <w:pStyle w:val="Heading1"/>
      </w:pPr>
      <w:r>
        <w:t>4. Key risks and controls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Fairness risk: inconsistent marking between trainers.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Bias risk: assessment decisions may be influenced by irrelevant factors.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Evidence risk: appeal cannot be investigated if records are weak.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Competence risk: passing a short course may be mistaken for full workplace competence.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Conflict risk: employer pressure may influence learner outcomes.</w:t>
      </w:r>
    </w:p>
    <w:p>
      <w:pPr>
        <w:pStyle w:val="Heading1"/>
      </w:pPr>
      <w:r>
        <w:t>5. Roles and responsibilities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  <w:shd w:fill="142644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Role</w:t>
            </w:r>
          </w:p>
        </w:tc>
        <w:tc>
          <w:tcPr>
            <w:tcW w:type="dxa" w:w="5040"/>
            <w:shd w:fill="142644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Responsibility</w:t>
            </w:r>
          </w:p>
        </w:tc>
      </w:tr>
      <w:tr>
        <w:tc>
          <w:tcPr>
            <w:tcW w:type="dxa" w:w="5040"/>
          </w:tcPr>
          <w:p>
            <w:r/>
            <w:r>
              <w:rPr>
                <w:rFonts w:ascii="Arial" w:hAnsi="Arial"/>
                <w:b/>
                <w:sz w:val="17"/>
              </w:rPr>
              <w:t>Brandso Group Director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7"/>
              </w:rPr>
              <w:t>Approves the training governance framework, sets risk appetite and ensures ProCare Hub operates within Brandso Group standards.</w:t>
            </w:r>
          </w:p>
        </w:tc>
      </w:tr>
      <w:tr>
        <w:tc>
          <w:tcPr>
            <w:tcW w:type="dxa" w:w="5040"/>
          </w:tcPr>
          <w:p>
            <w:r/>
            <w:r>
              <w:rPr>
                <w:rFonts w:ascii="Arial" w:hAnsi="Arial"/>
                <w:b/>
                <w:sz w:val="17"/>
              </w:rPr>
              <w:t>ProCare Hub Service Lead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7"/>
              </w:rPr>
              <w:t>Owns course delivery, learner experience, trainer allocation, quality checks, complaints, certificates and escalation.</w:t>
            </w:r>
          </w:p>
        </w:tc>
      </w:tr>
      <w:tr>
        <w:tc>
          <w:tcPr>
            <w:tcW w:type="dxa" w:w="5040"/>
          </w:tcPr>
          <w:p>
            <w:r/>
            <w:r>
              <w:rPr>
                <w:rFonts w:ascii="Arial" w:hAnsi="Arial"/>
                <w:b/>
                <w:sz w:val="17"/>
              </w:rPr>
              <w:t>Trainer / Assessor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7"/>
              </w:rPr>
              <w:t>Delivers training competently, marks assessments fairly, keeps records and reports safeguarding, malpractice, quality or conduct concerns.</w:t>
            </w:r>
          </w:p>
        </w:tc>
      </w:tr>
      <w:tr>
        <w:tc>
          <w:tcPr>
            <w:tcW w:type="dxa" w:w="5040"/>
          </w:tcPr>
          <w:p>
            <w:r/>
            <w:r>
              <w:rPr>
                <w:rFonts w:ascii="Arial" w:hAnsi="Arial"/>
                <w:b/>
                <w:sz w:val="17"/>
              </w:rPr>
              <w:t>Administrator / Support Team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7"/>
              </w:rPr>
              <w:t>Manages bookings, learner access, attendance records, certificates, enquiries, invoices and data updates.</w:t>
            </w:r>
          </w:p>
        </w:tc>
      </w:tr>
      <w:tr>
        <w:tc>
          <w:tcPr>
            <w:tcW w:type="dxa" w:w="5040"/>
          </w:tcPr>
          <w:p>
            <w:r/>
            <w:r>
              <w:rPr>
                <w:rFonts w:ascii="Arial" w:hAnsi="Arial"/>
                <w:b/>
                <w:sz w:val="17"/>
              </w:rPr>
              <w:t>Learner / Employer Client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7"/>
              </w:rPr>
              <w:t>Provides accurate information, follows joining instructions, participates honestly, raises support needs early and complies with course rules.</w:t>
            </w:r>
          </w:p>
        </w:tc>
      </w:tr>
      <w:tr>
        <w:tc>
          <w:tcPr>
            <w:tcW w:type="dxa" w:w="5040"/>
          </w:tcPr>
          <w:p>
            <w:r/>
            <w:r>
              <w:rPr>
                <w:rFonts w:ascii="Arial" w:hAnsi="Arial"/>
                <w:b/>
                <w:sz w:val="17"/>
              </w:rPr>
              <w:t>Data Protection Lead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7"/>
              </w:rPr>
              <w:t>Advises on learner records, retention, privacy notices, data sharing, security and breach escalation.</w:t>
            </w:r>
          </w:p>
        </w:tc>
      </w:tr>
    </w:tbl>
    <w:p/>
    <w:p>
      <w:pPr>
        <w:pStyle w:val="Heading1"/>
      </w:pPr>
      <w:r>
        <w:t>6. Procedure</w:t>
      </w:r>
    </w:p>
    <w:p>
      <w:pPr>
        <w:pStyle w:val="Heading2"/>
      </w:pPr>
      <w:r>
        <w:t>Assessment design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 xml:space="preserve">Assessments should be proportionate to </w:t>
      </w:r>
      <w:r>
        <w:rPr>
          <w:rFonts w:ascii="Arial" w:hAnsi="Arial"/>
          <w:b/>
          <w:color w:val="444444"/>
          <w:sz w:val="20"/>
        </w:rPr>
        <w:t>course</w:t>
      </w:r>
      <w:r>
        <w:rPr>
          <w:rFonts w:ascii="Arial" w:hAnsi="Arial"/>
          <w:color w:val="444444"/>
          <w:sz w:val="20"/>
        </w:rPr>
        <w:t xml:space="preserve"> level, learning outcomes and delivery method. Questions and tasks should avoid misleading wording and should be reviewed when content changes.</w:t>
      </w:r>
    </w:p>
    <w:p>
      <w:pPr>
        <w:pStyle w:val="Heading2"/>
      </w:pPr>
      <w:r>
        <w:t>Before assessment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Learners should be told what is assessed, what evidence is needed, pass mark or completion standard, permitted support, time limits, reassessment options and appeal route.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Reasonable adjustments should be considered before assessment where requested and appropriate.</w:t>
      </w:r>
    </w:p>
    <w:p>
      <w:pPr>
        <w:pStyle w:val="Heading2"/>
      </w:pPr>
      <w:r>
        <w:t>Marking and decisions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 xml:space="preserve">Assessors must mark against the stated criteria. Where an outcome is borderline, unusual or disputed, a second review should be considered. Trainers must not pass a </w:t>
      </w:r>
      <w:r>
        <w:rPr>
          <w:rFonts w:ascii="Arial" w:hAnsi="Arial"/>
          <w:b/>
          <w:color w:val="444444"/>
          <w:sz w:val="20"/>
        </w:rPr>
        <w:t>learner</w:t>
      </w:r>
      <w:r>
        <w:rPr>
          <w:rFonts w:ascii="Arial" w:hAnsi="Arial"/>
          <w:color w:val="444444"/>
          <w:sz w:val="20"/>
        </w:rPr>
        <w:t xml:space="preserve"> where evidence is insufficient.</w:t>
      </w:r>
    </w:p>
    <w:p>
      <w:pPr>
        <w:pStyle w:val="Heading2"/>
      </w:pPr>
      <w:r>
        <w:t>Appeal process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Appeals should be submitted in writing within the stated timescale, explaining the decision being challenged and why.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The appeal reviewer should consider the assessment evidence, course rules, reasonable adjustment records, learner communication and any trainer notes.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Possible outcomes include decision upheld, reassessment offered, mark amended, certificate issued, certificate refused or further investigation required.</w:t>
      </w:r>
    </w:p>
    <w:p>
      <w:pPr>
        <w:pStyle w:val="Heading2"/>
      </w:pPr>
      <w:r>
        <w:t>Final decision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 xml:space="preserve">The </w:t>
      </w:r>
      <w:r>
        <w:rPr>
          <w:rFonts w:ascii="Arial" w:hAnsi="Arial"/>
          <w:b/>
          <w:color w:val="444444"/>
          <w:sz w:val="20"/>
        </w:rPr>
        <w:t>appeal</w:t>
      </w:r>
      <w:r>
        <w:rPr>
          <w:rFonts w:ascii="Arial" w:hAnsi="Arial"/>
          <w:color w:val="444444"/>
          <w:sz w:val="20"/>
        </w:rPr>
        <w:t xml:space="preserve"> outcome should be confirmed in writing. Where external awarding body rules apply, those rules take priority and the </w:t>
      </w:r>
      <w:r>
        <w:rPr>
          <w:rFonts w:ascii="Arial" w:hAnsi="Arial"/>
          <w:b/>
          <w:color w:val="444444"/>
          <w:sz w:val="20"/>
        </w:rPr>
        <w:t>learner</w:t>
      </w:r>
      <w:r>
        <w:rPr>
          <w:rFonts w:ascii="Arial" w:hAnsi="Arial"/>
          <w:color w:val="444444"/>
          <w:sz w:val="20"/>
        </w:rPr>
        <w:t xml:space="preserve"> should be directed to the relevant external </w:t>
      </w:r>
      <w:r>
        <w:rPr>
          <w:rFonts w:ascii="Arial" w:hAnsi="Arial"/>
          <w:b/>
          <w:color w:val="444444"/>
          <w:sz w:val="20"/>
        </w:rPr>
        <w:t>appeal</w:t>
      </w:r>
      <w:r>
        <w:rPr>
          <w:rFonts w:ascii="Arial" w:hAnsi="Arial"/>
          <w:color w:val="444444"/>
          <w:sz w:val="20"/>
        </w:rPr>
        <w:t xml:space="preserve"> route.</w:t>
      </w:r>
    </w:p>
    <w:p>
      <w:pPr>
        <w:pStyle w:val="Heading1"/>
      </w:pPr>
      <w:r>
        <w:t>7. Required records and evidence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Assessment criteria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Assessment submissions or quiz logs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Marking record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Reasonable adjustment decisions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Appeal request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Appeal review notes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Outcome letter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Certificate decision</w:t>
      </w:r>
    </w:p>
    <w:p>
      <w:pPr>
        <w:pStyle w:val="Heading1"/>
      </w:pPr>
      <w:r>
        <w:t>8. Monitoring, review and improvement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>Assessment outcomes, re</w:t>
      </w:r>
      <w:r>
        <w:rPr>
          <w:rFonts w:ascii="Arial" w:hAnsi="Arial"/>
          <w:b/>
          <w:color w:val="444444"/>
          <w:sz w:val="20"/>
        </w:rPr>
        <w:t>assessment</w:t>
      </w:r>
      <w:r>
        <w:rPr>
          <w:rFonts w:ascii="Arial" w:hAnsi="Arial"/>
          <w:color w:val="444444"/>
          <w:sz w:val="20"/>
        </w:rPr>
        <w:t xml:space="preserve"> rates and </w:t>
      </w:r>
      <w:r>
        <w:rPr>
          <w:rFonts w:ascii="Arial" w:hAnsi="Arial"/>
          <w:b/>
          <w:color w:val="444444"/>
          <w:sz w:val="20"/>
        </w:rPr>
        <w:t>appeal</w:t>
      </w:r>
      <w:r>
        <w:rPr>
          <w:rFonts w:ascii="Arial" w:hAnsi="Arial"/>
          <w:color w:val="444444"/>
          <w:sz w:val="20"/>
        </w:rPr>
        <w:t xml:space="preserve">s will be reviewed to identify unclear materials, inconsistent marking or </w:t>
      </w:r>
      <w:r>
        <w:rPr>
          <w:rFonts w:ascii="Arial" w:hAnsi="Arial"/>
          <w:b/>
          <w:color w:val="444444"/>
          <w:sz w:val="20"/>
        </w:rPr>
        <w:t>training</w:t>
      </w:r>
      <w:r>
        <w:rPr>
          <w:rFonts w:ascii="Arial" w:hAnsi="Arial"/>
          <w:color w:val="444444"/>
          <w:sz w:val="20"/>
        </w:rPr>
        <w:t xml:space="preserve"> needs for trainers.</w:t>
      </w:r>
    </w:p>
    <w:p>
      <w:pPr>
        <w:pStyle w:val="Heading1"/>
      </w:pPr>
      <w:r>
        <w:t>9. Related documents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Brandso Group Terms of Service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Brandso Group Privacy Policy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Data Protection Policy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Customer Service and Complaints Policy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Refund and Cancellation Policy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Safeguarding Concern Escalation Policy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Document Control Policy</w:t>
      </w:r>
    </w:p>
    <w:p>
      <w:pPr>
        <w:pStyle w:val="Heading1"/>
      </w:pPr>
      <w:r>
        <w:t>10. Approval and version control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>Approved by Simeon Ologeh on 10/06/2026. Version 1.0. The controlled copy is held by Brandso Group Limited.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080" w:bottom="936" w:left="1080" w:header="403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444444"/>
        <w:sz w:val="16"/>
      </w:rPr>
      <w:t xml:space="preserve">Brandso Group Limited | Company No. 15970239 | Approved: 10/06/2026 | Page </w:t>
    </w:r>
    <w:r>
      <w:fldChar w:fldCharType="begin"/>
      <w:instrText xml:space="preserve">PAGE</w:instrText>
      <w:fldChar w:fldCharType="end"/>
    </w:r>
    <w:r>
      <w:rPr>
        <w:rFonts w:ascii="Arial" w:hAnsi="Arial"/>
        <w:color w:val="444444"/>
        <w:sz w:val="16"/>
      </w:rPr>
      <w:t xml:space="preserve"> of </w:t>
    </w:r>
    <w:r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inline xmlns:a="http://schemas.openxmlformats.org/drawingml/2006/main" xmlns:pic="http://schemas.openxmlformats.org/drawingml/2006/picture">
          <wp:extent cx="1417320" cy="439252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Screenshot 2026-06-06 103125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7320" cy="439252"/>
                  </a:xfrm>
                  <a:prstGeom prst="rect"/>
                </pic:spPr>
              </pic:pic>
            </a:graphicData>
          </a:graphic>
        </wp:inline>
      </w:drawing>
    </w:r>
    <w:r>
      <w:rPr>
        <w:rFonts w:ascii="Arial" w:hAnsi="Arial"/>
        <w:color w:val="444444"/>
        <w:sz w:val="16"/>
      </w:rPr>
      <w:t xml:space="preserve">   ProCare Hub Service Documents | ProCare Hub Assessment and Appeals Policy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 Black" w:hAnsi="Arial Black" w:eastAsia="Arial Black"/>
      <w:b/>
      <w:bCs/>
      <w:color w:val="00594C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42644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F27F02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 Black" w:hAnsi="Arial Black" w:eastAsia="Arial Black"/>
      <w:b/>
      <w:color w:val="142644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 w:eastAsia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Arial" w:hAnsi="Arial" w:eastAsia="Arial"/>
      <w:sz w:val="20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