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2423160" cy="7509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6-06 10312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5097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60"/>
      </w:pPr>
      <w:r>
        <w:t>ProCare Hub Complaints and Appeals Procedure</w:t>
      </w:r>
    </w:p>
    <w:p>
      <w:r>
        <w:rPr>
          <w:rFonts w:ascii="Arial" w:hAnsi="Arial"/>
          <w:color w:val="444444"/>
          <w:sz w:val="24"/>
        </w:rPr>
        <w:t>Complaint, appeal, investigation, outcome and service improvement process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title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Complaints and Appeals Procedure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Applies to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Hub, Brandso Group Limited, learners, employer clients, trainers, assessors, contractors and relevant Brandso subsidiaries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Document owner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ProCare Hub Service Lead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Approved by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Simeon Ologeh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Approval date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10/06/2026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1.0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Review frequency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Annual, or earlier following legal, regulatory, safeguarding, course, platform or service change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Legal jurisdiction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England and Wales</w:t>
            </w:r>
          </w:p>
        </w:tc>
      </w:tr>
      <w:tr>
        <w:tc>
          <w:tcPr>
            <w:tcW w:type="dxa" w:w="5040"/>
            <w:shd w:fill="142644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Contact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sz w:val="17"/>
              </w:rPr>
              <w:t>info@brandso.co.uk | 0333 335 5919</w:t>
            </w:r>
          </w:p>
        </w:tc>
      </w:tr>
    </w:tbl>
    <w:p/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forms part of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Policy Library. It has been prepared for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, a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service operated by </w:t>
      </w:r>
      <w:r>
        <w:rPr>
          <w:rFonts w:ascii="Arial" w:hAnsi="Arial"/>
          <w:b/>
          <w:color w:val="444444"/>
          <w:sz w:val="20"/>
        </w:rPr>
        <w:t>Brandso Group Limited</w:t>
      </w:r>
      <w:r>
        <w:rPr>
          <w:rFonts w:ascii="Arial" w:hAnsi="Arial"/>
          <w:color w:val="444444"/>
          <w:sz w:val="20"/>
        </w:rPr>
        <w:t xml:space="preserve">, company number 15970239, registered office Unit 6, 33 Hungerhill Road, Nottingham, England, NG3 4NB, </w:t>
      </w:r>
      <w:r>
        <w:rPr>
          <w:rFonts w:ascii="Arial" w:hAnsi="Arial"/>
          <w:b/>
          <w:color w:val="444444"/>
          <w:sz w:val="20"/>
        </w:rPr>
        <w:t>ICO</w:t>
      </w:r>
      <w:r>
        <w:rPr>
          <w:rFonts w:ascii="Arial" w:hAnsi="Arial"/>
          <w:color w:val="444444"/>
          <w:sz w:val="20"/>
        </w:rPr>
        <w:t xml:space="preserve"> registration number ZC142984.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supports safe, fair, consistent and commercially controlled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delivery. It is not a substitute for independent legal, regulatory, awarding body,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, employment or clinical advice where a matter is complex, disputed or high risk.</w:t>
      </w:r>
    </w:p>
    <w:p>
      <w:r>
        <w:br w:type="page"/>
      </w:r>
    </w:p>
    <w:p>
      <w:pPr>
        <w:pStyle w:val="Heading1"/>
      </w:pPr>
      <w:r>
        <w:t>1. Purpose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procedure gives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and other stakeholders a clear route to raise complaints about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, support,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>s, trainers, customer service or booking decisions.</w:t>
      </w:r>
    </w:p>
    <w:p>
      <w:pPr>
        <w:pStyle w:val="Heading1"/>
      </w:pPr>
      <w:r>
        <w:t>2. Scope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This document applies to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and any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staff, trainers, contractors,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s, </w:t>
      </w:r>
      <w:r>
        <w:rPr>
          <w:rFonts w:ascii="Arial" w:hAnsi="Arial"/>
          <w:b/>
          <w:color w:val="444444"/>
          <w:sz w:val="20"/>
        </w:rPr>
        <w:t>employer</w:t>
      </w:r>
      <w:r>
        <w:rPr>
          <w:rFonts w:ascii="Arial" w:hAnsi="Arial"/>
          <w:color w:val="444444"/>
          <w:sz w:val="20"/>
        </w:rPr>
        <w:t xml:space="preserve"> clients or approved partners involved in the relevant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activity. It should be read alongside the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legal, data protection, customer service, finance, HR and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>-related policy packs.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Learner complaints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Employer client complaints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Assessment appeals and certificate disputes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Trainer conduct complaints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Refund, cancellation and support complaints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Complaints involving safeguarding, discrimination, data protection or serious misconduct</w:t>
      </w:r>
    </w:p>
    <w:p>
      <w:pPr>
        <w:pStyle w:val="Heading1"/>
      </w:pPr>
      <w:r>
        <w:t>3. Policy statement and operating principles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must deliver </w:t>
      </w:r>
      <w:r>
        <w:rPr>
          <w:rFonts w:ascii="Arial" w:hAnsi="Arial"/>
          <w:b/>
          <w:color w:val="444444"/>
          <w:sz w:val="20"/>
        </w:rPr>
        <w:t>training</w:t>
      </w:r>
      <w:r>
        <w:rPr>
          <w:rFonts w:ascii="Arial" w:hAnsi="Arial"/>
          <w:color w:val="444444"/>
          <w:sz w:val="20"/>
        </w:rPr>
        <w:t xml:space="preserve"> that is clear, honest, safe, accessible, commercially fair and appropriate to the </w:t>
      </w:r>
      <w:r>
        <w:rPr>
          <w:rFonts w:ascii="Arial" w:hAnsi="Arial"/>
          <w:b/>
          <w:color w:val="444444"/>
          <w:sz w:val="20"/>
        </w:rPr>
        <w:t>learner</w:t>
      </w:r>
      <w:r>
        <w:rPr>
          <w:rFonts w:ascii="Arial" w:hAnsi="Arial"/>
          <w:color w:val="444444"/>
          <w:sz w:val="20"/>
        </w:rPr>
        <w:t xml:space="preserve"> audience. Training materials must not overstate qualifications, guarantees, legal effect, inspection outcomes, employment prospects or regulatory approval.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Complaints must be acknowledged, investigated fairly and responded to within a reasonable timeframe.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Appeals about assessment decisions should follow the assessment route first where appropriate.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Safeguarding, data breach, discrimination and whistleblowing concerns must be escalated under the relevant specialist policy.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Complainants must not be treated unfairly for raising a concern in good faith.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Complaints should be used to improve services.</w:t>
      </w:r>
    </w:p>
    <w:p>
      <w:pPr>
        <w:pStyle w:val="Heading1"/>
      </w:pPr>
      <w:r>
        <w:t>4. Key risks and controls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Reputation risk: unresolved complaints harm trust.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Fairness risk: complaint investigator may be involved in the original issue.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Evidence risk: weak records make decisions difficult.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Escalation risk: safeguarding or data matters may be treated as ordinary complaints.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Commercial risk: complaints may link to refunds, chargebacks or contract disputes.</w:t>
      </w:r>
    </w:p>
    <w:p>
      <w:pPr>
        <w:pStyle w:val="Heading1"/>
      </w:pPr>
      <w:r>
        <w:t>5. Roles and responsibilities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Role</w:t>
            </w:r>
          </w:p>
        </w:tc>
        <w:tc>
          <w:tcPr>
            <w:tcW w:type="dxa" w:w="5040"/>
            <w:shd w:fill="142644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Responsibility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Brandso Group Director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Approves the training governance framework, sets risk appetite and ensures ProCare Hub operates within Brandso Group standards.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ProCare Hub Service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Owns course delivery, learner experience, trainer allocation, quality checks, complaints, certificates and escalation.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Trainer / Assessor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Delivers training competently, marks assessments fairly, keeps records and reports safeguarding, malpractice, quality or conduct concerns.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Administrator / Support Team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Manages bookings, learner access, attendance records, certificates, enquiries, invoices and data updates.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Learner / Employer Client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Provides accurate information, follows joining instructions, participates honestly, raises support needs early and complies with course rules.</w:t>
            </w:r>
          </w:p>
        </w:tc>
      </w:tr>
      <w:tr>
        <w:tc>
          <w:tcPr>
            <w:tcW w:type="dxa" w:w="5040"/>
          </w:tcPr>
          <w:p>
            <w:r/>
            <w:r>
              <w:rPr>
                <w:rFonts w:ascii="Arial" w:hAnsi="Arial"/>
                <w:b/>
                <w:sz w:val="17"/>
              </w:rPr>
              <w:t>Data Protection Lead</w:t>
            </w:r>
          </w:p>
        </w:tc>
        <w:tc>
          <w:tcPr>
            <w:tcW w:type="dxa" w:w="5040"/>
          </w:tcPr>
          <w:p>
            <w:r/>
            <w:r>
              <w:rPr>
                <w:rFonts w:ascii="Arial" w:hAnsi="Arial"/>
                <w:b w:val="0"/>
                <w:sz w:val="17"/>
              </w:rPr>
              <w:t>Advises on learner records, retention, privacy notices, data sharing, security and breach escalation.</w:t>
            </w:r>
          </w:p>
        </w:tc>
      </w:tr>
    </w:tbl>
    <w:p/>
    <w:p>
      <w:pPr>
        <w:pStyle w:val="Heading1"/>
      </w:pPr>
      <w:r>
        <w:t>6. Procedure</w:t>
      </w:r>
    </w:p>
    <w:p>
      <w:pPr>
        <w:pStyle w:val="Heading2"/>
      </w:pPr>
      <w:r>
        <w:t>How to complain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Complaints should be submitted by email, website form or another approved route, setting out the issue, </w:t>
      </w:r>
      <w:r>
        <w:rPr>
          <w:rFonts w:ascii="Arial" w:hAnsi="Arial"/>
          <w:b/>
          <w:color w:val="444444"/>
          <w:sz w:val="20"/>
        </w:rPr>
        <w:t>course</w:t>
      </w:r>
      <w:r>
        <w:rPr>
          <w:rFonts w:ascii="Arial" w:hAnsi="Arial"/>
          <w:color w:val="444444"/>
          <w:sz w:val="20"/>
        </w:rPr>
        <w:t>/booking details, people involved, date, evidence and preferred outcome where known.</w:t>
      </w:r>
    </w:p>
    <w:p>
      <w:pPr>
        <w:pStyle w:val="Heading2"/>
      </w:pPr>
      <w:r>
        <w:t>Acknowledgement and triage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Acknowledge complaints promptly, identify whether it is a complaint, 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 xml:space="preserve"> 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 xml:space="preserve">, </w:t>
      </w:r>
      <w:r>
        <w:rPr>
          <w:rFonts w:ascii="Arial" w:hAnsi="Arial"/>
          <w:b/>
          <w:color w:val="444444"/>
          <w:sz w:val="20"/>
        </w:rPr>
        <w:t>safeguarding</w:t>
      </w:r>
      <w:r>
        <w:rPr>
          <w:rFonts w:ascii="Arial" w:hAnsi="Arial"/>
          <w:color w:val="444444"/>
          <w:sz w:val="20"/>
        </w:rPr>
        <w:t xml:space="preserve"> concern, data protection issue, refund request, trainer conduct issue or payment dispute, and assign an appropriate owner.</w:t>
      </w:r>
    </w:p>
    <w:p>
      <w:pPr>
        <w:pStyle w:val="Heading2"/>
      </w:pPr>
      <w:r>
        <w:t>Investigation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Review booking records, communications, attendance, trainer notes, platform logs, assessment records and relevant policies.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Where appropriate, speak to the learner, employer client, trainer or support staff.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Avoid conflicts of interest where possible.</w:t>
      </w:r>
    </w:p>
    <w:p>
      <w:pPr>
        <w:pStyle w:val="Heading2"/>
      </w:pPr>
      <w:r>
        <w:t>Outcome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The response should explain what was reviewed, the decision, any remedy, whether the complaint is upheld, partly upheld or not upheld, and any improvement actions. Remedies may include apology, correction, </w:t>
      </w:r>
      <w:r>
        <w:rPr>
          <w:rFonts w:ascii="Arial" w:hAnsi="Arial"/>
          <w:b/>
          <w:color w:val="444444"/>
          <w:sz w:val="20"/>
        </w:rPr>
        <w:t>certificate</w:t>
      </w:r>
      <w:r>
        <w:rPr>
          <w:rFonts w:ascii="Arial" w:hAnsi="Arial"/>
          <w:color w:val="444444"/>
          <w:sz w:val="20"/>
        </w:rPr>
        <w:t xml:space="preserve"> reissue, re</w:t>
      </w:r>
      <w:r>
        <w:rPr>
          <w:rFonts w:ascii="Arial" w:hAnsi="Arial"/>
          <w:b/>
          <w:color w:val="444444"/>
          <w:sz w:val="20"/>
        </w:rPr>
        <w:t>assessment</w:t>
      </w:r>
      <w:r>
        <w:rPr>
          <w:rFonts w:ascii="Arial" w:hAnsi="Arial"/>
          <w:color w:val="444444"/>
          <w:sz w:val="20"/>
        </w:rPr>
        <w:t>, transfer, refund, goodwill or no further action.</w:t>
      </w:r>
    </w:p>
    <w:p>
      <w:pPr>
        <w:pStyle w:val="Heading2"/>
      </w:pPr>
      <w:r>
        <w:t>Escalation or review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Where a complainant is dissatisfied, a senior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representative may review the decision. If an external awarding </w:t>
      </w:r>
      <w:r>
        <w:rPr>
          <w:rFonts w:ascii="Arial" w:hAnsi="Arial"/>
          <w:b/>
          <w:color w:val="444444"/>
          <w:sz w:val="20"/>
        </w:rPr>
        <w:t>organisation</w:t>
      </w:r>
      <w:r>
        <w:rPr>
          <w:rFonts w:ascii="Arial" w:hAnsi="Arial"/>
          <w:color w:val="444444"/>
          <w:sz w:val="20"/>
        </w:rPr>
        <w:t xml:space="preserve"> is involved, its complaints/</w:t>
      </w:r>
      <w:r>
        <w:rPr>
          <w:rFonts w:ascii="Arial" w:hAnsi="Arial"/>
          <w:b/>
          <w:color w:val="444444"/>
          <w:sz w:val="20"/>
        </w:rPr>
        <w:t>appeal</w:t>
      </w:r>
      <w:r>
        <w:rPr>
          <w:rFonts w:ascii="Arial" w:hAnsi="Arial"/>
          <w:color w:val="444444"/>
          <w:sz w:val="20"/>
        </w:rPr>
        <w:t>s route may also apply.</w:t>
      </w:r>
    </w:p>
    <w:p>
      <w:pPr>
        <w:pStyle w:val="Heading1"/>
      </w:pPr>
      <w:r>
        <w:t>7. Required records and evidence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Complaint record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Acknowledgement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Evidence reviewed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Investigation notes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Outcome response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Improvement actions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Refund/goodwill approval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Escalation record</w:t>
      </w:r>
    </w:p>
    <w:p>
      <w:pPr>
        <w:pStyle w:val="Heading1"/>
      </w:pPr>
      <w:r>
        <w:t>8. Monitoring, review and improvement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 xml:space="preserve">Complaint themes, response times, outcomes and improvement actions will be reviewed as part of </w:t>
      </w:r>
      <w:r>
        <w:rPr>
          <w:rFonts w:ascii="Arial" w:hAnsi="Arial"/>
          <w:b/>
          <w:color w:val="444444"/>
          <w:sz w:val="20"/>
        </w:rPr>
        <w:t>ProCare Hub</w:t>
      </w:r>
      <w:r>
        <w:rPr>
          <w:rFonts w:ascii="Arial" w:hAnsi="Arial"/>
          <w:color w:val="444444"/>
          <w:sz w:val="20"/>
        </w:rPr>
        <w:t xml:space="preserve"> quality assurance and </w:t>
      </w:r>
      <w:r>
        <w:rPr>
          <w:rFonts w:ascii="Arial" w:hAnsi="Arial"/>
          <w:b/>
          <w:color w:val="444444"/>
          <w:sz w:val="20"/>
        </w:rPr>
        <w:t>Brandso Group</w:t>
      </w:r>
      <w:r>
        <w:rPr>
          <w:rFonts w:ascii="Arial" w:hAnsi="Arial"/>
          <w:color w:val="444444"/>
          <w:sz w:val="20"/>
        </w:rPr>
        <w:t xml:space="preserve"> governance reporting.</w:t>
      </w:r>
    </w:p>
    <w:p>
      <w:pPr>
        <w:pStyle w:val="Heading1"/>
      </w:pPr>
      <w:r>
        <w:t>9. Related documents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Terms of Service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Brandso Group Privacy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Data Protection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Customer Service and Complaints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Refund and Cancellation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Safeguarding Concern Escalation Policy</w:t>
      </w:r>
    </w:p>
    <w:p>
      <w:pPr>
        <w:pStyle w:val="ListBullet"/>
        <w:spacing w:after="60" w:line="252" w:lineRule="auto"/>
      </w:pPr>
      <w:r>
        <w:rPr>
          <w:rFonts w:ascii="Arial" w:hAnsi="Arial"/>
          <w:color w:val="444444"/>
          <w:sz w:val="20"/>
        </w:rPr>
        <w:t>Document Control Policy</w:t>
      </w:r>
    </w:p>
    <w:p>
      <w:pPr>
        <w:pStyle w:val="Heading1"/>
      </w:pPr>
      <w:r>
        <w:t>10. Approval and version control</w:t>
      </w:r>
    </w:p>
    <w:p>
      <w:pPr>
        <w:spacing w:after="120" w:line="259" w:lineRule="auto"/>
      </w:pPr>
      <w:r>
        <w:rPr>
          <w:rFonts w:ascii="Arial" w:hAnsi="Arial"/>
          <w:color w:val="444444"/>
          <w:sz w:val="20"/>
        </w:rPr>
        <w:t>Approved by Simeon Ologeh on 10/06/2026. Version 1.0. The controlled copy is held by Brandso Group Limited.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36" w:left="108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44444"/>
        <w:sz w:val="16"/>
      </w:rPr>
      <w:t xml:space="preserve">Brandso Group Limited | Company No. 15970239 | Approved: 10/06/2026 |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444444"/>
        <w:sz w:val="16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inline xmlns:a="http://schemas.openxmlformats.org/drawingml/2006/main" xmlns:pic="http://schemas.openxmlformats.org/drawingml/2006/picture">
          <wp:extent cx="1417320" cy="43925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Screenshot 2026-06-06 103125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7320" cy="439252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  <w:color w:val="444444"/>
        <w:sz w:val="16"/>
      </w:rPr>
      <w:t xml:space="preserve">   ProCare Hub Service Documents | ProCare Hub Complaints and Appeals Procedure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 Black" w:hAnsi="Arial Black" w:eastAsia="Arial Black"/>
      <w:b/>
      <w:bCs/>
      <w:color w:val="00594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426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F27F02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 Black" w:hAnsi="Arial Black" w:eastAsia="Arial Black"/>
      <w:b/>
      <w:color w:val="142644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