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Non-Attendance Policy</w:t>
      </w:r>
    </w:p>
    <w:p>
      <w:r>
        <w:rPr>
          <w:rFonts w:ascii="Arial" w:hAnsi="Arial"/>
          <w:color w:val="444444"/>
          <w:sz w:val="24"/>
        </w:rPr>
        <w:t>No-shows, late arrival, early departure and failure to complete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Non-Attendance Policy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policy explains how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manages non-attendance, late arrival, early departure and failure to complete required </w:t>
      </w:r>
      <w:r>
        <w:rPr>
          <w:rFonts w:ascii="Arial" w:hAnsi="Arial"/>
          <w:b/>
          <w:color w:val="444444"/>
          <w:sz w:val="20"/>
        </w:rPr>
        <w:t>online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within the access period.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Classroom, live virtual and practical sessions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Online self-paced courses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block bookings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Bespoke sessions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Learners who attend but fail to meet participation requirements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Non-attendance must be recorded accurately and communicated fairly.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Certificates must not be issued where minimum attendance or completion requirements are not met.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clients should be informed where their nominated learners do not attend, subject to privacy and contract arrangements.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No-shows may be chargeable where a place, trainer or access has been reserved.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Exceptional circumstances may be considered on a case-by-case basis.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Certificate integrity risk: issuing certificates to absent learners undermines trust.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compliance risk: employers may think mandatory training is complete when it is not.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Dispute risk: learners may claim they attended without evidence.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Commercial risk: no-shows waste course capacity.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Wellbeing risk: unexpected absence may indicate a safeguarding or welfare concern in some contexts.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Recording absence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Trainers must record non-attendance, late arrival, early departure and removal from session.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For online learning, the platform record should show access, progress, assessment attempts and completion status.</w:t>
      </w:r>
    </w:p>
    <w:p>
      <w:pPr>
        <w:pStyle w:val="Heading2"/>
      </w:pPr>
      <w:r>
        <w:t>Communication to learner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should be told why a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cannot be issued and what options may be available, such as rebooking, transfer, further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or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discussion.</w:t>
      </w:r>
    </w:p>
    <w:p>
      <w:pPr>
        <w:pStyle w:val="Heading2"/>
      </w:pPr>
      <w:r>
        <w:t>Communication to employer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Where the booking was made by an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,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may inform the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that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did not attend, did not complete or is not eligible for a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>. Information shared should be limited to what is necessary.</w:t>
      </w:r>
    </w:p>
    <w:p>
      <w:pPr>
        <w:pStyle w:val="Heading2"/>
      </w:pPr>
      <w:r>
        <w:t>Charges and transfers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No-shows are normally non-refundable unless there is a valid legal or exceptional reason. Transfer requests may be considered where made promptly and where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 xml:space="preserve"> capacity allows.</w:t>
      </w:r>
    </w:p>
    <w:p>
      <w:pPr>
        <w:pStyle w:val="Heading2"/>
      </w:pPr>
      <w:r>
        <w:t>Safeguarding or welfare escalation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If absence or departure raises immediate concern about a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>’s safety or the safety of others, staff must escalate using the Safeguarding Concern Escalation Policy or emergency procedures as appropriate.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Attendance register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Platform logs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notes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communication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notification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Transfer/refund decision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escalation record where relevant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Non-attendance data will be reviewed to identify unclear joining instructions, poor timing, technical issues,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release problems or repeat client patterns.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Non-Attendance Policy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