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Trainer Code of Conduct</w:t>
      </w:r>
    </w:p>
    <w:p>
      <w:r>
        <w:rPr>
          <w:rFonts w:ascii="Arial" w:hAnsi="Arial"/>
          <w:color w:val="444444"/>
          <w:sz w:val="24"/>
        </w:rPr>
        <w:t>Professional standards for trainers, assessors and facilitators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Trainer Code of Conduct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code sets professional conduct standards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trainers, assessors, facilitators, consultants and contractors delivering or supporting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>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Employed, self-employed and contractor trainers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Assessors and course facilitators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Guest speakers and specialist contributors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Online, virtual, classroom and on-site training delivery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Interactions with learners, employer clients and Brandso Group staff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Trainers must act professionally, safely, fairly and within their competence.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Training must be delivered from approved materials unless changes are authorised.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Trainers must not issue misleading advice, guarantee outcomes or act outside their role.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Safeguarding, discrimination, data protection and conduct concerns must be escalated promptly.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Trainers must avoid conflicts of interest and protect ProCare Hub materials and client information.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Quality risk: inconsistent trainer delivery damages learner outcomes.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risk: trainers may receive sensitive disclosures.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Bias risk: unfair treatment or discriminatory language.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IP risk: trainers may reuse materials outside their licence.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Boundary risk: trainers may provide legal, clinical or employment advice without authority.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Professional delivery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Prepare for sessions, arrive on time, use approved materials, check attendance, create a respectful learning environment and adapt delivery appropriately without lowering required standards.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Use inclusive language and avoid humiliating, discriminatory, judgemental or inappropriate comments.</w:t>
      </w:r>
    </w:p>
    <w:p>
      <w:pPr>
        <w:pStyle w:val="Heading2"/>
      </w:pPr>
      <w:r>
        <w:t>Competence and boundaries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must deliver only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>s they are competent to deliver. Where a question is outside their expertise, they should signpost, take advice or refer to the Service Lead rather than guessing.</w:t>
      </w:r>
    </w:p>
    <w:p>
      <w:pPr>
        <w:pStyle w:val="Heading2"/>
      </w:pPr>
      <w:r>
        <w:t>Assessment integrity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and assessors must apply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standards fairly, keep records, avoid favouritism and resist pressure to pass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>s without evidence.</w:t>
      </w:r>
    </w:p>
    <w:p>
      <w:pPr>
        <w:pStyle w:val="Heading2"/>
      </w:pPr>
      <w:r>
        <w:t>Safeguarding and conduct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Any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concern, allegation, harassment, discriminatory incident,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distress, aggressive behaviour or serious complaint must be reported promptly using the appropriate escalation route.</w:t>
      </w:r>
    </w:p>
    <w:p>
      <w:pPr>
        <w:pStyle w:val="Heading2"/>
      </w:pPr>
      <w:r>
        <w:t>Confidentiality and intellectual property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must protect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information,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 information,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materials,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content, login details and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intellectual property. Materials must not be copied, sold or reused without permission.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agreement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Qualification/competence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Session plan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feedback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Incident/concern report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Quality observation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record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 conduct will be monitored through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feedback, quality observations, complaint reviews,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sampling and periodic trainer meetings.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Trainer Code of Conduct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